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紫金农商银行2025年四季度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关联交易专项报告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本行根据《银行保险机构关联交易管理办法》和本行《关联交易管理办法》的相关规定，依法合规开展关联交易，现将2025年四季度末关联交易的具体情况披露如下：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一、授信类关联交易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截至2025年四季度末，本行与关联方发生的授信类关联交易净额62.22亿元，占资本净额的25.73%，均符合监管规定。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二、资产转移类关联交易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2025年四季度，本行与关联方发生的资产转移类关联交易金额5.19亿元，符合监管规定。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三、服务类关联交易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2025年四季度，本行与关联方发生的服务类关联交易金额0.08亿元，符合监管规定。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四、存款和其他类型关联交易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2025年四季度，本行与关联方发生的存款类关联交易7.11亿元，其他类关联交易0.008亿元。均符合监管规定。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江苏紫金农村商业银行股份有限公司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2026年1月28日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1A3DE7"/>
    <w:rsid w:val="007C0C3E"/>
    <w:rsid w:val="05780F2D"/>
    <w:rsid w:val="088A7CE8"/>
    <w:rsid w:val="0FB62F8C"/>
    <w:rsid w:val="116577BB"/>
    <w:rsid w:val="1CD513F3"/>
    <w:rsid w:val="266A5F61"/>
    <w:rsid w:val="3F5F1F2E"/>
    <w:rsid w:val="54124B7D"/>
    <w:rsid w:val="5CB852C5"/>
    <w:rsid w:val="64EC1599"/>
    <w:rsid w:val="65F0554E"/>
    <w:rsid w:val="691A3DE7"/>
    <w:rsid w:val="6EAE26B0"/>
    <w:rsid w:val="7A5A0ACB"/>
    <w:rsid w:val="7AC06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2025-04-23T10:08:00Z</dcterms:created>
  <dc:creator>夏</dc:creator>
  <cp:lastModifiedBy>葛伶燕</cp:lastModifiedBy>
  <dcterms:modified xsi:type="dcterms:W3CDTF">2026-01-30T05:48:55Z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B406BABAC829425AA0DDF6E7DCC284F3</vt:lpwstr>
  </property>
</Properties>
</file>